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B9BF8" w14:textId="77777777" w:rsidR="006E1E04" w:rsidRDefault="00D1698F">
      <w:pPr>
        <w:spacing w:after="689"/>
        <w:ind w:right="4393"/>
        <w:jc w:val="center"/>
      </w:pPr>
      <w:r>
        <w:rPr>
          <w:noProof/>
        </w:rPr>
        <w:drawing>
          <wp:inline distT="0" distB="0" distL="0" distR="0" wp14:anchorId="7542689C" wp14:editId="0FB42E1F">
            <wp:extent cx="2912745" cy="46642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9"/>
                    <a:stretch>
                      <a:fillRect/>
                    </a:stretch>
                  </pic:blipFill>
                  <pic:spPr>
                    <a:xfrm>
                      <a:off x="0" y="0"/>
                      <a:ext cx="2912745" cy="466420"/>
                    </a:xfrm>
                    <a:prstGeom prst="rect">
                      <a:avLst/>
                    </a:prstGeom>
                  </pic:spPr>
                </pic:pic>
              </a:graphicData>
            </a:graphic>
          </wp:inline>
        </w:drawing>
      </w:r>
      <w:r>
        <w:rPr>
          <w:rFonts w:ascii="Arial" w:eastAsia="Arial" w:hAnsi="Arial" w:cs="Arial"/>
          <w:b/>
          <w:color w:val="005A7C"/>
          <w:sz w:val="16"/>
        </w:rPr>
        <w:t xml:space="preserve"> </w:t>
      </w:r>
    </w:p>
    <w:p w14:paraId="06CB5449" w14:textId="77777777" w:rsidR="006E1E04" w:rsidRDefault="00D1698F">
      <w:pPr>
        <w:spacing w:after="244"/>
      </w:pPr>
      <w:r>
        <w:rPr>
          <w:rFonts w:ascii="Arial" w:eastAsia="Arial" w:hAnsi="Arial" w:cs="Arial"/>
          <w:b/>
          <w:color w:val="0B99A6"/>
          <w:sz w:val="40"/>
        </w:rPr>
        <w:t xml:space="preserve">Information Notice to Trade </w:t>
      </w:r>
    </w:p>
    <w:p w14:paraId="416D2A2B" w14:textId="77777777" w:rsidR="006E1E04" w:rsidRDefault="00D1698F">
      <w:pPr>
        <w:pStyle w:val="Heading1"/>
        <w:ind w:left="-5"/>
      </w:pPr>
      <w:r>
        <w:t xml:space="preserve">TRACES Helpdesk Contact, GB Labelling Requirements and Preparedness Advice </w:t>
      </w:r>
    </w:p>
    <w:p w14:paraId="13F78F90" w14:textId="77777777" w:rsidR="006E1E04" w:rsidRDefault="00D1698F">
      <w:pPr>
        <w:spacing w:after="238" w:line="241" w:lineRule="auto"/>
        <w:ind w:right="3"/>
        <w:jc w:val="both"/>
      </w:pPr>
      <w:r>
        <w:rPr>
          <w:rFonts w:ascii="Arial" w:eastAsia="Arial" w:hAnsi="Arial" w:cs="Arial"/>
          <w:sz w:val="20"/>
        </w:rPr>
        <w:t>The Sea-Fisheries Protection Authority has issued this</w:t>
      </w:r>
      <w:r>
        <w:rPr>
          <w:rFonts w:ascii="Arial" w:eastAsia="Arial" w:hAnsi="Arial" w:cs="Arial"/>
          <w:b/>
          <w:sz w:val="20"/>
        </w:rPr>
        <w:t xml:space="preserve"> </w:t>
      </w:r>
      <w:r>
        <w:rPr>
          <w:rFonts w:ascii="Arial" w:eastAsia="Arial" w:hAnsi="Arial" w:cs="Arial"/>
          <w:sz w:val="20"/>
        </w:rPr>
        <w:t xml:space="preserve">Information Notice in relation to technical requirements for Irish companies trading with Great Britain in an evolving third country regulatory environment.  </w:t>
      </w:r>
    </w:p>
    <w:p w14:paraId="1B4B35EC" w14:textId="77777777" w:rsidR="006E1E04" w:rsidRDefault="00D1698F">
      <w:pPr>
        <w:spacing w:after="350" w:line="247" w:lineRule="auto"/>
        <w:ind w:left="-5" w:hanging="10"/>
      </w:pPr>
      <w:r>
        <w:rPr>
          <w:rFonts w:ascii="Arial" w:eastAsia="Arial" w:hAnsi="Arial" w:cs="Arial"/>
          <w:sz w:val="20"/>
        </w:rPr>
        <w:t>In advance of the implementation of EHCs for trade with GB from 00:01 on Wednesday the 31st of Ja</w:t>
      </w:r>
      <w:r>
        <w:rPr>
          <w:rFonts w:ascii="Arial" w:eastAsia="Arial" w:hAnsi="Arial" w:cs="Arial"/>
          <w:sz w:val="20"/>
        </w:rPr>
        <w:t xml:space="preserve">nuary please find below information for your reference. </w:t>
      </w:r>
    </w:p>
    <w:p w14:paraId="2F605176" w14:textId="77777777" w:rsidR="006E1E04" w:rsidRDefault="00D1698F">
      <w:pPr>
        <w:pStyle w:val="Heading1"/>
        <w:spacing w:after="352"/>
        <w:ind w:left="-5"/>
      </w:pPr>
      <w:r>
        <w:t>TRACES Helpdesk Contact</w:t>
      </w:r>
      <w:r>
        <w:rPr>
          <w:color w:val="000000"/>
          <w:vertAlign w:val="subscript"/>
        </w:rPr>
        <w:t xml:space="preserve"> </w:t>
      </w:r>
    </w:p>
    <w:p w14:paraId="1D21F496" w14:textId="77777777" w:rsidR="006E1E04" w:rsidRDefault="00D1698F">
      <w:pPr>
        <w:shd w:val="clear" w:color="auto" w:fill="0699A7"/>
        <w:spacing w:after="513" w:line="239" w:lineRule="auto"/>
        <w:ind w:left="225" w:right="218" w:hanging="10"/>
      </w:pPr>
      <w:r>
        <w:rPr>
          <w:rFonts w:ascii="Arial" w:eastAsia="Arial" w:hAnsi="Arial" w:cs="Arial"/>
          <w:i/>
          <w:color w:val="FFFFFF"/>
        </w:rPr>
        <w:t xml:space="preserve">Any TRACES system queries from industry should in the first instance be directed to the DAFM TRACES helpdesk at </w:t>
      </w:r>
      <w:r>
        <w:rPr>
          <w:rFonts w:ascii="Arial" w:eastAsia="Arial" w:hAnsi="Arial" w:cs="Arial"/>
          <w:i/>
          <w:color w:val="0000FF"/>
          <w:u w:val="single" w:color="0000FF"/>
        </w:rPr>
        <w:t>Traces@agriculture.gov.ie</w:t>
      </w:r>
      <w:r>
        <w:rPr>
          <w:rFonts w:ascii="Arial" w:eastAsia="Arial" w:hAnsi="Arial" w:cs="Arial"/>
          <w:i/>
          <w:color w:val="FFFFFF"/>
        </w:rPr>
        <w:t xml:space="preserve"> or by calling 01 6072860. </w:t>
      </w:r>
    </w:p>
    <w:p w14:paraId="3AB0D45E" w14:textId="77777777" w:rsidR="006E1E04" w:rsidRDefault="00D1698F">
      <w:pPr>
        <w:spacing w:after="212"/>
      </w:pPr>
      <w:r>
        <w:rPr>
          <w:rFonts w:ascii="Arial" w:eastAsia="Arial" w:hAnsi="Arial" w:cs="Arial"/>
          <w:color w:val="0B99A6"/>
          <w:sz w:val="32"/>
        </w:rPr>
        <w:t xml:space="preserve"> </w:t>
      </w:r>
    </w:p>
    <w:p w14:paraId="2CCFE4A1" w14:textId="77777777" w:rsidR="006E1E04" w:rsidRDefault="00D1698F">
      <w:pPr>
        <w:pStyle w:val="Heading1"/>
        <w:ind w:left="-5"/>
      </w:pPr>
      <w:r>
        <w:t>GB Labe</w:t>
      </w:r>
      <w:r>
        <w:t>lling Requirements</w:t>
      </w:r>
      <w:r>
        <w:rPr>
          <w:color w:val="000000"/>
          <w:vertAlign w:val="subscript"/>
        </w:rPr>
        <w:t xml:space="preserve"> </w:t>
      </w:r>
    </w:p>
    <w:p w14:paraId="3E82BD18" w14:textId="77777777" w:rsidR="006E1E04" w:rsidRDefault="00D1698F">
      <w:pPr>
        <w:spacing w:after="237" w:line="247" w:lineRule="auto"/>
        <w:ind w:left="-5" w:hanging="10"/>
      </w:pPr>
      <w:r>
        <w:rPr>
          <w:rFonts w:ascii="Arial" w:eastAsia="Arial" w:hAnsi="Arial" w:cs="Arial"/>
          <w:sz w:val="20"/>
        </w:rPr>
        <w:t xml:space="preserve">Consignments travelling from Ireland with a final destination in GB will be covered for Export Health Certification purposes by either </w:t>
      </w:r>
      <w:hyperlink r:id="rId10">
        <w:r>
          <w:rPr>
            <w:rFonts w:ascii="Arial" w:eastAsia="Arial" w:hAnsi="Arial" w:cs="Arial"/>
            <w:color w:val="4472C4"/>
            <w:sz w:val="20"/>
            <w:u w:val="single" w:color="4472C4"/>
          </w:rPr>
          <w:t>GBHC401 for Fishery Products</w:t>
        </w:r>
      </w:hyperlink>
      <w:hyperlink r:id="rId11">
        <w:r>
          <w:rPr>
            <w:rFonts w:ascii="Arial" w:eastAsia="Arial" w:hAnsi="Arial" w:cs="Arial"/>
            <w:sz w:val="20"/>
          </w:rPr>
          <w:t xml:space="preserve"> </w:t>
        </w:r>
      </w:hyperlink>
      <w:r>
        <w:rPr>
          <w:rFonts w:ascii="Arial" w:eastAsia="Arial" w:hAnsi="Arial" w:cs="Arial"/>
          <w:sz w:val="20"/>
        </w:rPr>
        <w:t xml:space="preserve">or </w:t>
      </w:r>
      <w:hyperlink r:id="rId12">
        <w:r>
          <w:rPr>
            <w:rFonts w:ascii="Arial" w:eastAsia="Arial" w:hAnsi="Arial" w:cs="Arial"/>
            <w:color w:val="4472C4"/>
            <w:sz w:val="20"/>
            <w:u w:val="single" w:color="4472C4"/>
          </w:rPr>
          <w:t>GBHC400 for LBMs, Ec</w:t>
        </w:r>
        <w:r>
          <w:rPr>
            <w:rFonts w:ascii="Arial" w:eastAsia="Arial" w:hAnsi="Arial" w:cs="Arial"/>
            <w:color w:val="4472C4"/>
            <w:sz w:val="20"/>
            <w:u w:val="single" w:color="4472C4"/>
          </w:rPr>
          <w:t>hinoderms,</w:t>
        </w:r>
      </w:hyperlink>
      <w:hyperlink r:id="rId13">
        <w:r>
          <w:rPr>
            <w:rFonts w:ascii="Arial" w:eastAsia="Arial" w:hAnsi="Arial" w:cs="Arial"/>
            <w:color w:val="4472C4"/>
            <w:sz w:val="20"/>
          </w:rPr>
          <w:t xml:space="preserve"> </w:t>
        </w:r>
      </w:hyperlink>
      <w:hyperlink r:id="rId14">
        <w:r>
          <w:rPr>
            <w:rFonts w:ascii="Arial" w:eastAsia="Arial" w:hAnsi="Arial" w:cs="Arial"/>
            <w:color w:val="4472C4"/>
            <w:sz w:val="20"/>
            <w:u w:val="single" w:color="4472C4"/>
          </w:rPr>
          <w:t>Tunicates and Marine Gastropods.</w:t>
        </w:r>
      </w:hyperlink>
      <w:hyperlink r:id="rId15">
        <w:r>
          <w:rPr>
            <w:rFonts w:ascii="Arial" w:eastAsia="Arial" w:hAnsi="Arial" w:cs="Arial"/>
            <w:sz w:val="20"/>
          </w:rPr>
          <w:t xml:space="preserve"> </w:t>
        </w:r>
      </w:hyperlink>
    </w:p>
    <w:p w14:paraId="389D1BEF" w14:textId="77777777" w:rsidR="006E1E04" w:rsidRDefault="00D1698F">
      <w:pPr>
        <w:spacing w:after="222"/>
        <w:ind w:left="-5" w:hanging="10"/>
      </w:pPr>
      <w:hyperlink r:id="rId16">
        <w:r>
          <w:rPr>
            <w:rFonts w:ascii="Arial" w:eastAsia="Arial" w:hAnsi="Arial" w:cs="Arial"/>
            <w:b/>
            <w:color w:val="0D0D0D"/>
            <w:sz w:val="20"/>
            <w:u w:val="single" w:color="0C0C0C"/>
          </w:rPr>
          <w:t>GBHC401 for Fishery Products</w:t>
        </w:r>
      </w:hyperlink>
      <w:hyperlink r:id="rId17">
        <w:r>
          <w:rPr>
            <w:rFonts w:ascii="Arial" w:eastAsia="Arial" w:hAnsi="Arial" w:cs="Arial"/>
            <w:b/>
            <w:color w:val="0D0D0D"/>
            <w:sz w:val="20"/>
          </w:rPr>
          <w:t xml:space="preserve"> </w:t>
        </w:r>
      </w:hyperlink>
    </w:p>
    <w:p w14:paraId="7E456DF9" w14:textId="77777777" w:rsidR="006E1E04" w:rsidRDefault="00D1698F">
      <w:pPr>
        <w:spacing w:after="462"/>
      </w:pPr>
      <w:r>
        <w:rPr>
          <w:rFonts w:ascii="Arial" w:eastAsia="Arial" w:hAnsi="Arial" w:cs="Arial"/>
          <w:sz w:val="18"/>
        </w:rPr>
        <w:t>The specific labelling requirements are as follows:</w:t>
      </w:r>
      <w:r>
        <w:rPr>
          <w:rFonts w:ascii="Arial" w:eastAsia="Arial" w:hAnsi="Arial" w:cs="Arial"/>
          <w:sz w:val="20"/>
        </w:rPr>
        <w:t xml:space="preserve"> </w:t>
      </w:r>
    </w:p>
    <w:p w14:paraId="4898D49B" w14:textId="77777777" w:rsidR="006E1E04" w:rsidRDefault="00D1698F">
      <w:pPr>
        <w:shd w:val="clear" w:color="auto" w:fill="0699A7"/>
        <w:spacing w:after="200" w:line="239" w:lineRule="auto"/>
        <w:ind w:left="225" w:hanging="10"/>
      </w:pPr>
      <w:r>
        <w:rPr>
          <w:rFonts w:ascii="Arial" w:eastAsia="Arial" w:hAnsi="Arial" w:cs="Arial"/>
          <w:i/>
          <w:color w:val="FFFFFF"/>
        </w:rPr>
        <w:t>To correctly identify the consignment, either a legible label must be affixed on the exterior of the container, or when transported by well boat, an entry must be made in the ship's manifest, with the relevant information as referred to in boxes I.7 to I.1</w:t>
      </w:r>
      <w:r>
        <w:rPr>
          <w:rFonts w:ascii="Arial" w:eastAsia="Arial" w:hAnsi="Arial" w:cs="Arial"/>
          <w:i/>
          <w:color w:val="FFFFFF"/>
        </w:rPr>
        <w:t xml:space="preserve">2 of Part I of this certificate, and displaying the unique reference number of the corresponding certificate. The label or manifest entry must include the following statement as appropriate: </w:t>
      </w:r>
    </w:p>
    <w:p w14:paraId="2A210E8F" w14:textId="77777777" w:rsidR="006E1E04" w:rsidRDefault="00D1698F">
      <w:pPr>
        <w:shd w:val="clear" w:color="auto" w:fill="0699A7"/>
        <w:spacing w:after="171" w:line="265" w:lineRule="auto"/>
        <w:ind w:left="225" w:hanging="10"/>
      </w:pPr>
      <w:r>
        <w:rPr>
          <w:rFonts w:ascii="Arial" w:eastAsia="Arial" w:hAnsi="Arial" w:cs="Arial"/>
          <w:color w:val="FFFFFF"/>
        </w:rPr>
        <w:t xml:space="preserve">'Fish intended for human consumption in Great Britain' </w:t>
      </w:r>
    </w:p>
    <w:p w14:paraId="51384C08" w14:textId="77777777" w:rsidR="006E1E04" w:rsidRDefault="00D1698F">
      <w:pPr>
        <w:shd w:val="clear" w:color="auto" w:fill="0699A7"/>
        <w:spacing w:after="178"/>
        <w:ind w:left="215"/>
      </w:pPr>
      <w:r>
        <w:rPr>
          <w:rFonts w:ascii="Arial" w:eastAsia="Arial" w:hAnsi="Arial" w:cs="Arial"/>
          <w:b/>
          <w:color w:val="FFFFFF"/>
        </w:rPr>
        <w:t xml:space="preserve">OR </w:t>
      </w:r>
    </w:p>
    <w:p w14:paraId="77C99EB4" w14:textId="77777777" w:rsidR="006E1E04" w:rsidRDefault="00D1698F">
      <w:pPr>
        <w:shd w:val="clear" w:color="auto" w:fill="0699A7"/>
        <w:spacing w:after="452" w:line="265" w:lineRule="auto"/>
        <w:ind w:left="225" w:hanging="10"/>
      </w:pPr>
      <w:r>
        <w:rPr>
          <w:rFonts w:ascii="Arial" w:eastAsia="Arial" w:hAnsi="Arial" w:cs="Arial"/>
          <w:color w:val="FFFFFF"/>
        </w:rPr>
        <w:t>'Cru</w:t>
      </w:r>
      <w:r>
        <w:rPr>
          <w:rFonts w:ascii="Arial" w:eastAsia="Arial" w:hAnsi="Arial" w:cs="Arial"/>
          <w:color w:val="FFFFFF"/>
        </w:rPr>
        <w:t xml:space="preserve">staceans intended for human consumption in Great Britain' </w:t>
      </w:r>
    </w:p>
    <w:p w14:paraId="0CDA4A64" w14:textId="77777777" w:rsidR="006E1E04" w:rsidRDefault="00D1698F">
      <w:pPr>
        <w:spacing w:after="235"/>
      </w:pPr>
      <w:r>
        <w:rPr>
          <w:rFonts w:ascii="Arial" w:eastAsia="Arial" w:hAnsi="Arial" w:cs="Arial"/>
          <w:b/>
          <w:color w:val="FF0000"/>
          <w:sz w:val="15"/>
        </w:rPr>
        <w:t xml:space="preserve">  </w:t>
      </w:r>
    </w:p>
    <w:p w14:paraId="2D64A07E" w14:textId="77777777" w:rsidR="006E1E04" w:rsidRDefault="00D1698F">
      <w:pPr>
        <w:spacing w:after="56"/>
        <w:ind w:left="-5" w:hanging="10"/>
      </w:pPr>
      <w:r>
        <w:rPr>
          <w:rFonts w:ascii="Arial" w:eastAsia="Arial" w:hAnsi="Arial" w:cs="Arial"/>
          <w:sz w:val="15"/>
        </w:rPr>
        <w:t xml:space="preserve">“The purpose of this document is to provide information upon </w:t>
      </w:r>
      <w:r>
        <w:rPr>
          <w:rFonts w:ascii="Arial" w:eastAsia="Arial" w:hAnsi="Arial" w:cs="Arial"/>
          <w:color w:val="0D0D0D"/>
          <w:sz w:val="15"/>
        </w:rPr>
        <w:t>requirements for export to Great Britain.</w:t>
      </w:r>
      <w:r>
        <w:rPr>
          <w:rFonts w:ascii="Arial" w:eastAsia="Arial" w:hAnsi="Arial" w:cs="Arial"/>
          <w:sz w:val="15"/>
        </w:rPr>
        <w:t xml:space="preserve"> </w:t>
      </w:r>
      <w:r>
        <w:rPr>
          <w:rFonts w:ascii="Arial" w:eastAsia="Arial" w:hAnsi="Arial" w:cs="Arial"/>
          <w:sz w:val="15"/>
        </w:rPr>
        <w:t>For the avoidance of doubt, this information does not constitute legal advice or analysis and should not be relied upon as such. Whilst every effort is made to ensure accurate and relevant material is published, no responsibility is accepted by, or on beha</w:t>
      </w:r>
      <w:r>
        <w:rPr>
          <w:rFonts w:ascii="Arial" w:eastAsia="Arial" w:hAnsi="Arial" w:cs="Arial"/>
          <w:sz w:val="15"/>
        </w:rPr>
        <w:t xml:space="preserve">lf of the SFPA, for any errors, omissions or misleading statements on these pages.” </w:t>
      </w:r>
    </w:p>
    <w:tbl>
      <w:tblPr>
        <w:tblStyle w:val="TableGrid"/>
        <w:tblW w:w="9019" w:type="dxa"/>
        <w:tblInd w:w="5" w:type="dxa"/>
        <w:tblCellMar>
          <w:top w:w="87" w:type="dxa"/>
          <w:left w:w="108" w:type="dxa"/>
          <w:bottom w:w="0" w:type="dxa"/>
          <w:right w:w="115" w:type="dxa"/>
        </w:tblCellMar>
        <w:tblLook w:val="04A0" w:firstRow="1" w:lastRow="0" w:firstColumn="1" w:lastColumn="0" w:noHBand="0" w:noVBand="1"/>
      </w:tblPr>
      <w:tblGrid>
        <w:gridCol w:w="2998"/>
        <w:gridCol w:w="3008"/>
        <w:gridCol w:w="3013"/>
      </w:tblGrid>
      <w:tr w:rsidR="006E1E04" w14:paraId="29FE1E34" w14:textId="77777777">
        <w:trPr>
          <w:trHeight w:val="350"/>
        </w:trPr>
        <w:tc>
          <w:tcPr>
            <w:tcW w:w="2998" w:type="dxa"/>
            <w:tcBorders>
              <w:top w:val="single" w:sz="4" w:space="0" w:color="000000"/>
              <w:left w:val="single" w:sz="4" w:space="0" w:color="000000"/>
              <w:bottom w:val="single" w:sz="4" w:space="0" w:color="000000"/>
              <w:right w:val="single" w:sz="4" w:space="0" w:color="000000"/>
            </w:tcBorders>
          </w:tcPr>
          <w:p w14:paraId="086DC42A" w14:textId="77777777" w:rsidR="006E1E04" w:rsidRDefault="00D1698F">
            <w:pPr>
              <w:spacing w:after="0"/>
            </w:pPr>
            <w:r>
              <w:rPr>
                <w:rFonts w:ascii="Arial" w:eastAsia="Arial" w:hAnsi="Arial" w:cs="Arial"/>
                <w:b/>
                <w:color w:val="005A7C"/>
                <w:sz w:val="16"/>
              </w:rPr>
              <w:t xml:space="preserve">Doc Ref: </w:t>
            </w:r>
            <w:r>
              <w:rPr>
                <w:rFonts w:ascii="Arial" w:eastAsia="Arial" w:hAnsi="Arial" w:cs="Arial"/>
                <w:color w:val="005A7C"/>
                <w:sz w:val="16"/>
              </w:rPr>
              <w:t xml:space="preserve">TCIA-IN-HC-39 </w:t>
            </w:r>
          </w:p>
        </w:tc>
        <w:tc>
          <w:tcPr>
            <w:tcW w:w="3008" w:type="dxa"/>
            <w:tcBorders>
              <w:top w:val="single" w:sz="4" w:space="0" w:color="000000"/>
              <w:left w:val="single" w:sz="4" w:space="0" w:color="000000"/>
              <w:bottom w:val="single" w:sz="4" w:space="0" w:color="000000"/>
              <w:right w:val="single" w:sz="4" w:space="0" w:color="000000"/>
            </w:tcBorders>
          </w:tcPr>
          <w:p w14:paraId="760B302F" w14:textId="77777777" w:rsidR="006E1E04" w:rsidRDefault="00D1698F">
            <w:pPr>
              <w:spacing w:after="0"/>
            </w:pPr>
            <w:r>
              <w:rPr>
                <w:rFonts w:ascii="Arial" w:eastAsia="Arial" w:hAnsi="Arial" w:cs="Arial"/>
                <w:b/>
                <w:color w:val="005A7C"/>
                <w:sz w:val="16"/>
              </w:rPr>
              <w:t xml:space="preserve">Version: </w:t>
            </w:r>
            <w:r>
              <w:rPr>
                <w:rFonts w:ascii="Arial" w:eastAsia="Arial" w:hAnsi="Arial" w:cs="Arial"/>
                <w:color w:val="005A7C"/>
                <w:sz w:val="16"/>
              </w:rPr>
              <w:t xml:space="preserve">1.0 </w:t>
            </w:r>
          </w:p>
        </w:tc>
        <w:tc>
          <w:tcPr>
            <w:tcW w:w="3013" w:type="dxa"/>
            <w:tcBorders>
              <w:top w:val="single" w:sz="4" w:space="0" w:color="000000"/>
              <w:left w:val="single" w:sz="4" w:space="0" w:color="000000"/>
              <w:bottom w:val="single" w:sz="4" w:space="0" w:color="000000"/>
              <w:right w:val="single" w:sz="4" w:space="0" w:color="000000"/>
            </w:tcBorders>
          </w:tcPr>
          <w:p w14:paraId="26446C5E" w14:textId="77777777" w:rsidR="006E1E04" w:rsidRDefault="00D1698F">
            <w:pPr>
              <w:spacing w:after="0"/>
            </w:pPr>
            <w:r>
              <w:rPr>
                <w:rFonts w:ascii="Arial" w:eastAsia="Arial" w:hAnsi="Arial" w:cs="Arial"/>
                <w:b/>
                <w:color w:val="005A7C"/>
                <w:sz w:val="16"/>
              </w:rPr>
              <w:t>Effective date:</w:t>
            </w:r>
            <w:r>
              <w:rPr>
                <w:rFonts w:ascii="Arial" w:eastAsia="Arial" w:hAnsi="Arial" w:cs="Arial"/>
                <w:color w:val="005A7C"/>
                <w:sz w:val="16"/>
              </w:rPr>
              <w:t xml:space="preserve"> 26/01/2024 </w:t>
            </w:r>
          </w:p>
        </w:tc>
      </w:tr>
    </w:tbl>
    <w:p w14:paraId="14D97262" w14:textId="77777777" w:rsidR="006E1E04" w:rsidRDefault="00D1698F">
      <w:pPr>
        <w:spacing w:after="0"/>
      </w:pPr>
      <w:r>
        <w:rPr>
          <w:rFonts w:ascii="Arial" w:eastAsia="Arial" w:hAnsi="Arial" w:cs="Arial"/>
          <w:sz w:val="15"/>
        </w:rPr>
        <w:t xml:space="preserve"> </w:t>
      </w:r>
    </w:p>
    <w:p w14:paraId="7505C3A2" w14:textId="77777777" w:rsidR="006E1E04" w:rsidRDefault="00D1698F">
      <w:pPr>
        <w:tabs>
          <w:tab w:val="center" w:pos="4682"/>
        </w:tabs>
        <w:spacing w:after="56"/>
        <w:ind w:left="-15"/>
      </w:pPr>
      <w:r>
        <w:rPr>
          <w:rFonts w:ascii="Arial" w:eastAsia="Arial" w:hAnsi="Arial" w:cs="Arial"/>
          <w:i/>
          <w:sz w:val="15"/>
        </w:rPr>
        <w:t xml:space="preserve"> </w:t>
      </w:r>
      <w:r>
        <w:rPr>
          <w:rFonts w:ascii="Arial" w:eastAsia="Arial" w:hAnsi="Arial" w:cs="Arial"/>
          <w:i/>
          <w:sz w:val="15"/>
        </w:rPr>
        <w:tab/>
      </w:r>
      <w:r>
        <w:rPr>
          <w:rFonts w:ascii="Arial" w:eastAsia="Arial" w:hAnsi="Arial" w:cs="Arial"/>
          <w:sz w:val="15"/>
        </w:rPr>
        <w:t xml:space="preserve">Page </w:t>
      </w:r>
      <w:r>
        <w:rPr>
          <w:rFonts w:ascii="Arial" w:eastAsia="Arial" w:hAnsi="Arial" w:cs="Arial"/>
          <w:b/>
          <w:sz w:val="15"/>
        </w:rPr>
        <w:t>1</w:t>
      </w:r>
      <w:r>
        <w:rPr>
          <w:rFonts w:ascii="Arial" w:eastAsia="Arial" w:hAnsi="Arial" w:cs="Arial"/>
          <w:sz w:val="15"/>
        </w:rPr>
        <w:t xml:space="preserve"> of </w:t>
      </w:r>
      <w:r>
        <w:rPr>
          <w:rFonts w:ascii="Arial" w:eastAsia="Arial" w:hAnsi="Arial" w:cs="Arial"/>
          <w:b/>
          <w:sz w:val="15"/>
        </w:rPr>
        <w:t>2</w:t>
      </w:r>
      <w:r>
        <w:rPr>
          <w:rFonts w:ascii="Arial" w:eastAsia="Arial" w:hAnsi="Arial" w:cs="Arial"/>
          <w:sz w:val="15"/>
        </w:rPr>
        <w:t xml:space="preserve"> </w:t>
      </w:r>
    </w:p>
    <w:p w14:paraId="792F1A3B" w14:textId="77777777" w:rsidR="006E1E04" w:rsidRDefault="00D1698F">
      <w:pPr>
        <w:spacing w:after="499"/>
        <w:ind w:right="4393"/>
        <w:jc w:val="center"/>
      </w:pPr>
      <w:r>
        <w:rPr>
          <w:noProof/>
        </w:rPr>
        <w:lastRenderedPageBreak/>
        <w:drawing>
          <wp:inline distT="0" distB="0" distL="0" distR="0" wp14:anchorId="0E5A2213" wp14:editId="32D9D8F8">
            <wp:extent cx="2912745" cy="466420"/>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9"/>
                    <a:stretch>
                      <a:fillRect/>
                    </a:stretch>
                  </pic:blipFill>
                  <pic:spPr>
                    <a:xfrm>
                      <a:off x="0" y="0"/>
                      <a:ext cx="2912745" cy="466420"/>
                    </a:xfrm>
                    <a:prstGeom prst="rect">
                      <a:avLst/>
                    </a:prstGeom>
                  </pic:spPr>
                </pic:pic>
              </a:graphicData>
            </a:graphic>
          </wp:inline>
        </w:drawing>
      </w:r>
      <w:r>
        <w:rPr>
          <w:rFonts w:ascii="Arial" w:eastAsia="Arial" w:hAnsi="Arial" w:cs="Arial"/>
          <w:b/>
          <w:color w:val="005A7C"/>
          <w:sz w:val="16"/>
        </w:rPr>
        <w:t xml:space="preserve"> </w:t>
      </w:r>
    </w:p>
    <w:p w14:paraId="1F0E375B" w14:textId="77777777" w:rsidR="006E1E04" w:rsidRDefault="00D1698F">
      <w:pPr>
        <w:spacing w:after="237" w:line="247" w:lineRule="auto"/>
        <w:ind w:left="-5" w:hanging="10"/>
      </w:pPr>
      <w:r>
        <w:rPr>
          <w:rFonts w:ascii="Arial" w:eastAsia="Arial" w:hAnsi="Arial" w:cs="Arial"/>
          <w:sz w:val="20"/>
        </w:rPr>
        <w:t xml:space="preserve">Boxes I.7 to I.12 refer respectively to Country of Origin, Region of Origin, Country of Destination, Region of Destination, Place of Dispatch, Place of Destination. </w:t>
      </w:r>
    </w:p>
    <w:p w14:paraId="7F6E6383" w14:textId="77777777" w:rsidR="006E1E04" w:rsidRDefault="00D1698F">
      <w:pPr>
        <w:spacing w:after="223"/>
      </w:pPr>
      <w:r>
        <w:rPr>
          <w:rFonts w:ascii="Arial" w:eastAsia="Arial" w:hAnsi="Arial" w:cs="Arial"/>
          <w:sz w:val="18"/>
        </w:rPr>
        <w:t xml:space="preserve"> </w:t>
      </w:r>
      <w:r>
        <w:rPr>
          <w:rFonts w:ascii="Arial" w:eastAsia="Arial" w:hAnsi="Arial" w:cs="Arial"/>
          <w:sz w:val="20"/>
        </w:rPr>
        <w:t xml:space="preserve"> </w:t>
      </w:r>
    </w:p>
    <w:p w14:paraId="48ECA767" w14:textId="77777777" w:rsidR="006E1E04" w:rsidRDefault="00D1698F">
      <w:pPr>
        <w:spacing w:after="222"/>
        <w:ind w:left="-5" w:hanging="10"/>
      </w:pPr>
      <w:hyperlink r:id="rId18">
        <w:r>
          <w:rPr>
            <w:rFonts w:ascii="Arial" w:eastAsia="Arial" w:hAnsi="Arial" w:cs="Arial"/>
            <w:b/>
            <w:color w:val="0D0D0D"/>
            <w:sz w:val="20"/>
            <w:u w:val="single" w:color="0C0C0C"/>
          </w:rPr>
          <w:t>GBHC400 for LBMs, Echinoderms, Tunicates and Marine Gastropods.</w:t>
        </w:r>
      </w:hyperlink>
      <w:hyperlink r:id="rId19">
        <w:r>
          <w:rPr>
            <w:rFonts w:ascii="Arial" w:eastAsia="Arial" w:hAnsi="Arial" w:cs="Arial"/>
            <w:b/>
            <w:color w:val="0D0D0D"/>
            <w:sz w:val="20"/>
          </w:rPr>
          <w:t xml:space="preserve"> </w:t>
        </w:r>
      </w:hyperlink>
    </w:p>
    <w:p w14:paraId="39DEFC5A" w14:textId="77777777" w:rsidR="006E1E04" w:rsidRDefault="00D1698F">
      <w:pPr>
        <w:spacing w:after="470" w:line="247" w:lineRule="auto"/>
        <w:ind w:left="-5" w:hanging="10"/>
      </w:pPr>
      <w:r>
        <w:rPr>
          <w:rFonts w:ascii="Arial" w:eastAsia="Arial" w:hAnsi="Arial" w:cs="Arial"/>
          <w:sz w:val="20"/>
        </w:rPr>
        <w:t>The specific labelling requirements a</w:t>
      </w:r>
      <w:r>
        <w:rPr>
          <w:rFonts w:ascii="Arial" w:eastAsia="Arial" w:hAnsi="Arial" w:cs="Arial"/>
          <w:sz w:val="20"/>
        </w:rPr>
        <w:t xml:space="preserve">re as follows: </w:t>
      </w:r>
    </w:p>
    <w:p w14:paraId="3A83CBAF" w14:textId="77777777" w:rsidR="006E1E04" w:rsidRDefault="00D1698F">
      <w:pPr>
        <w:shd w:val="clear" w:color="auto" w:fill="0699A7"/>
        <w:spacing w:after="200" w:line="239" w:lineRule="auto"/>
        <w:ind w:left="225" w:right="109" w:hanging="10"/>
      </w:pPr>
      <w:r>
        <w:rPr>
          <w:rFonts w:ascii="Arial" w:eastAsia="Arial" w:hAnsi="Arial" w:cs="Arial"/>
          <w:i/>
          <w:color w:val="FFFFFF"/>
        </w:rPr>
        <w:t>To correctly identify the consignment, it must be identified by a legible label on the exterior of the micro container, , with the relevant information referred to in boxes I.7 to I.12 of Part I of this certificate, the unique reference num</w:t>
      </w:r>
      <w:r>
        <w:rPr>
          <w:rFonts w:ascii="Arial" w:eastAsia="Arial" w:hAnsi="Arial" w:cs="Arial"/>
          <w:i/>
          <w:color w:val="FFFFFF"/>
        </w:rPr>
        <w:t xml:space="preserve">ber of the corresponding certificate, and the following statement: </w:t>
      </w:r>
    </w:p>
    <w:p w14:paraId="6D29BAE2" w14:textId="77777777" w:rsidR="006E1E04" w:rsidRDefault="00D1698F">
      <w:pPr>
        <w:shd w:val="clear" w:color="auto" w:fill="0699A7"/>
        <w:spacing w:after="373" w:line="265" w:lineRule="auto"/>
        <w:ind w:left="225" w:right="109" w:hanging="10"/>
      </w:pPr>
      <w:r>
        <w:rPr>
          <w:rFonts w:ascii="Arial" w:eastAsia="Arial" w:hAnsi="Arial" w:cs="Arial"/>
          <w:color w:val="FFFFFF"/>
        </w:rPr>
        <w:t xml:space="preserve">'Live bivalve molluscs intended for human consumption in Great Britain'. </w:t>
      </w:r>
    </w:p>
    <w:p w14:paraId="74F366C9" w14:textId="77777777" w:rsidR="006E1E04" w:rsidRDefault="00D1698F">
      <w:pPr>
        <w:spacing w:after="237" w:line="247" w:lineRule="auto"/>
        <w:ind w:left="-5" w:hanging="10"/>
      </w:pPr>
      <w:r>
        <w:rPr>
          <w:rFonts w:ascii="Arial" w:eastAsia="Arial" w:hAnsi="Arial" w:cs="Arial"/>
          <w:sz w:val="20"/>
        </w:rPr>
        <w:t xml:space="preserve">Boxes I.7 to I.12 refer respectively to Country of Origin, Region of Origin, Country of Destination, Region of Destination, Place of Dispatch, Place of Destination. </w:t>
      </w:r>
    </w:p>
    <w:p w14:paraId="38BB226F" w14:textId="77777777" w:rsidR="006E1E04" w:rsidRDefault="00D1698F">
      <w:pPr>
        <w:spacing w:after="237" w:line="247" w:lineRule="auto"/>
        <w:ind w:left="-5" w:hanging="10"/>
      </w:pPr>
      <w:r>
        <w:rPr>
          <w:rFonts w:ascii="Arial" w:eastAsia="Arial" w:hAnsi="Arial" w:cs="Arial"/>
          <w:sz w:val="20"/>
        </w:rPr>
        <w:t>Our current understanding is that no such labelling requirements apply to transit consignm</w:t>
      </w:r>
      <w:r>
        <w:rPr>
          <w:rFonts w:ascii="Arial" w:eastAsia="Arial" w:hAnsi="Arial" w:cs="Arial"/>
          <w:sz w:val="20"/>
        </w:rPr>
        <w:t xml:space="preserve">ents </w:t>
      </w:r>
    </w:p>
    <w:p w14:paraId="7E24C813" w14:textId="77777777" w:rsidR="006E1E04" w:rsidRDefault="00D1698F">
      <w:pPr>
        <w:spacing w:after="336"/>
      </w:pPr>
      <w:r>
        <w:rPr>
          <w:rFonts w:ascii="Arial" w:eastAsia="Arial" w:hAnsi="Arial" w:cs="Arial"/>
          <w:sz w:val="20"/>
        </w:rPr>
        <w:t xml:space="preserve"> </w:t>
      </w:r>
    </w:p>
    <w:p w14:paraId="641C733E" w14:textId="77777777" w:rsidR="006E1E04" w:rsidRDefault="00D1698F">
      <w:pPr>
        <w:pStyle w:val="Heading1"/>
        <w:ind w:left="-5"/>
      </w:pPr>
      <w:r>
        <w:t xml:space="preserve">Preparedness Advice </w:t>
      </w:r>
    </w:p>
    <w:p w14:paraId="327DF28F" w14:textId="77777777" w:rsidR="006E1E04" w:rsidRDefault="00D1698F">
      <w:pPr>
        <w:spacing w:after="237" w:line="247" w:lineRule="auto"/>
        <w:ind w:left="-5" w:hanging="10"/>
      </w:pPr>
      <w:r>
        <w:rPr>
          <w:rFonts w:ascii="Arial" w:eastAsia="Arial" w:hAnsi="Arial" w:cs="Arial"/>
          <w:sz w:val="20"/>
        </w:rPr>
        <w:t>For further information on what you need to do in order to be prepared for the changes being implemented from the 31</w:t>
      </w:r>
      <w:r>
        <w:rPr>
          <w:rFonts w:ascii="Arial" w:eastAsia="Arial" w:hAnsi="Arial" w:cs="Arial"/>
          <w:sz w:val="20"/>
          <w:vertAlign w:val="superscript"/>
        </w:rPr>
        <w:t>st</w:t>
      </w:r>
      <w:r>
        <w:rPr>
          <w:rFonts w:ascii="Arial" w:eastAsia="Arial" w:hAnsi="Arial" w:cs="Arial"/>
          <w:sz w:val="20"/>
        </w:rPr>
        <w:t xml:space="preserve"> of January please refer to our preparedness advice </w:t>
      </w:r>
      <w:hyperlink r:id="rId20">
        <w:r>
          <w:rPr>
            <w:rFonts w:ascii="Arial" w:eastAsia="Arial" w:hAnsi="Arial" w:cs="Arial"/>
            <w:color w:val="954F72"/>
            <w:sz w:val="20"/>
            <w:u w:val="single" w:color="954F72"/>
          </w:rPr>
          <w:t>here</w:t>
        </w:r>
      </w:hyperlink>
      <w:hyperlink r:id="rId21">
        <w:r>
          <w:rPr>
            <w:rFonts w:ascii="Arial" w:eastAsia="Arial" w:hAnsi="Arial" w:cs="Arial"/>
            <w:sz w:val="20"/>
          </w:rPr>
          <w:t>.</w:t>
        </w:r>
      </w:hyperlink>
      <w:r>
        <w:rPr>
          <w:rFonts w:ascii="Arial" w:eastAsia="Arial" w:hAnsi="Arial" w:cs="Arial"/>
          <w:sz w:val="20"/>
        </w:rPr>
        <w:t xml:space="preserve"> </w:t>
      </w:r>
    </w:p>
    <w:p w14:paraId="24CF140B" w14:textId="77777777" w:rsidR="006E1E04" w:rsidRDefault="00D1698F">
      <w:pPr>
        <w:spacing w:after="237" w:line="247" w:lineRule="auto"/>
        <w:ind w:left="-5" w:hanging="10"/>
      </w:pPr>
      <w:r>
        <w:rPr>
          <w:rFonts w:ascii="Arial" w:eastAsia="Arial" w:hAnsi="Arial" w:cs="Arial"/>
          <w:sz w:val="20"/>
        </w:rPr>
        <w:t xml:space="preserve">The full process on Export Health Certification can be found </w:t>
      </w:r>
      <w:hyperlink r:id="rId22">
        <w:r>
          <w:rPr>
            <w:rFonts w:ascii="Arial" w:eastAsia="Arial" w:hAnsi="Arial" w:cs="Arial"/>
            <w:color w:val="954F72"/>
            <w:sz w:val="20"/>
            <w:u w:val="single" w:color="954F72"/>
          </w:rPr>
          <w:t>here</w:t>
        </w:r>
      </w:hyperlink>
      <w:hyperlink r:id="rId23">
        <w:r>
          <w:rPr>
            <w:rFonts w:ascii="Arial" w:eastAsia="Arial" w:hAnsi="Arial" w:cs="Arial"/>
            <w:sz w:val="20"/>
          </w:rPr>
          <w:t>,</w:t>
        </w:r>
      </w:hyperlink>
      <w:r>
        <w:rPr>
          <w:rFonts w:ascii="Arial" w:eastAsia="Arial" w:hAnsi="Arial" w:cs="Arial"/>
          <w:sz w:val="20"/>
        </w:rPr>
        <w:t xml:space="preserve"> and instructions on how to complete an application for an Export Health Certificate are found </w:t>
      </w:r>
      <w:hyperlink r:id="rId24">
        <w:r>
          <w:rPr>
            <w:rFonts w:ascii="Arial" w:eastAsia="Arial" w:hAnsi="Arial" w:cs="Arial"/>
            <w:color w:val="954F72"/>
            <w:sz w:val="20"/>
            <w:u w:val="single" w:color="954F72"/>
          </w:rPr>
          <w:t>here</w:t>
        </w:r>
      </w:hyperlink>
      <w:hyperlink r:id="rId25">
        <w:r>
          <w:rPr>
            <w:rFonts w:ascii="Arial" w:eastAsia="Arial" w:hAnsi="Arial" w:cs="Arial"/>
            <w:sz w:val="20"/>
          </w:rPr>
          <w:t>.</w:t>
        </w:r>
      </w:hyperlink>
      <w:r>
        <w:rPr>
          <w:rFonts w:ascii="Arial" w:eastAsia="Arial" w:hAnsi="Arial" w:cs="Arial"/>
          <w:sz w:val="20"/>
        </w:rPr>
        <w:t xml:space="preserve"> </w:t>
      </w:r>
    </w:p>
    <w:p w14:paraId="3740B766" w14:textId="77777777" w:rsidR="006E1E04" w:rsidRDefault="00D1698F">
      <w:pPr>
        <w:spacing w:after="228"/>
      </w:pPr>
      <w:r>
        <w:rPr>
          <w:rFonts w:ascii="Arial" w:eastAsia="Arial" w:hAnsi="Arial" w:cs="Arial"/>
          <w:sz w:val="20"/>
        </w:rPr>
        <w:t xml:space="preserve"> </w:t>
      </w:r>
    </w:p>
    <w:p w14:paraId="48C88FE2" w14:textId="77777777" w:rsidR="006E1E04" w:rsidRDefault="00D1698F">
      <w:pPr>
        <w:spacing w:after="114" w:line="247" w:lineRule="auto"/>
        <w:ind w:left="-5" w:hanging="10"/>
      </w:pPr>
      <w:r>
        <w:rPr>
          <w:rFonts w:ascii="Arial" w:eastAsia="Arial" w:hAnsi="Arial" w:cs="Arial"/>
          <w:sz w:val="20"/>
        </w:rPr>
        <w:t xml:space="preserve">Queries regarding this information notice may be addressed to </w:t>
      </w:r>
      <w:r>
        <w:rPr>
          <w:rFonts w:ascii="Arial" w:eastAsia="Arial" w:hAnsi="Arial" w:cs="Arial"/>
          <w:color w:val="4472C4"/>
          <w:sz w:val="18"/>
          <w:u w:val="single" w:color="4472C4"/>
        </w:rPr>
        <w:t>SFPATradeandAudit@sfpa.ie</w:t>
      </w:r>
      <w:r>
        <w:rPr>
          <w:rFonts w:ascii="Arial" w:eastAsia="Arial" w:hAnsi="Arial" w:cs="Arial"/>
          <w:sz w:val="20"/>
        </w:rPr>
        <w:t xml:space="preserve"> </w:t>
      </w:r>
    </w:p>
    <w:p w14:paraId="5144A40C" w14:textId="77777777" w:rsidR="006E1E04" w:rsidRDefault="00D1698F">
      <w:pPr>
        <w:spacing w:after="2931"/>
      </w:pPr>
      <w:r>
        <w:rPr>
          <w:rFonts w:ascii="Arial" w:eastAsia="Arial" w:hAnsi="Arial" w:cs="Arial"/>
          <w:sz w:val="20"/>
        </w:rPr>
        <w:t xml:space="preserve"> </w:t>
      </w:r>
    </w:p>
    <w:p w14:paraId="51563D1F" w14:textId="77777777" w:rsidR="006E1E04" w:rsidRDefault="00D1698F">
      <w:pPr>
        <w:spacing w:after="235"/>
      </w:pPr>
      <w:r>
        <w:rPr>
          <w:rFonts w:ascii="Arial" w:eastAsia="Arial" w:hAnsi="Arial" w:cs="Arial"/>
          <w:b/>
          <w:color w:val="FF0000"/>
          <w:sz w:val="15"/>
        </w:rPr>
        <w:t xml:space="preserve">  </w:t>
      </w:r>
    </w:p>
    <w:p w14:paraId="7473A327" w14:textId="77777777" w:rsidR="006E1E04" w:rsidRDefault="00D1698F">
      <w:pPr>
        <w:spacing w:after="56"/>
        <w:ind w:left="-5" w:hanging="10"/>
      </w:pPr>
      <w:r>
        <w:rPr>
          <w:rFonts w:ascii="Arial" w:eastAsia="Arial" w:hAnsi="Arial" w:cs="Arial"/>
          <w:sz w:val="15"/>
        </w:rPr>
        <w:t xml:space="preserve">“The purpose of this document is to provide information upon </w:t>
      </w:r>
      <w:r>
        <w:rPr>
          <w:rFonts w:ascii="Arial" w:eastAsia="Arial" w:hAnsi="Arial" w:cs="Arial"/>
          <w:color w:val="0D0D0D"/>
          <w:sz w:val="15"/>
        </w:rPr>
        <w:t>requirements for export to Great Britain.</w:t>
      </w:r>
      <w:r>
        <w:rPr>
          <w:rFonts w:ascii="Arial" w:eastAsia="Arial" w:hAnsi="Arial" w:cs="Arial"/>
          <w:sz w:val="15"/>
        </w:rPr>
        <w:t xml:space="preserve"> For the avoidance of doubt, this information does not constitute legal advice or analysis and should not be relied upon as such. Whilst every effort is m</w:t>
      </w:r>
      <w:r>
        <w:rPr>
          <w:rFonts w:ascii="Arial" w:eastAsia="Arial" w:hAnsi="Arial" w:cs="Arial"/>
          <w:sz w:val="15"/>
        </w:rPr>
        <w:t xml:space="preserve">ade to ensure accurate and relevant material is published, no responsibility is accepted by, or on behalf of the SFPA, for any errors, omissions or misleading statements on these pages.” </w:t>
      </w:r>
    </w:p>
    <w:tbl>
      <w:tblPr>
        <w:tblStyle w:val="TableGrid"/>
        <w:tblW w:w="9019" w:type="dxa"/>
        <w:tblInd w:w="5" w:type="dxa"/>
        <w:tblCellMar>
          <w:top w:w="87" w:type="dxa"/>
          <w:left w:w="108" w:type="dxa"/>
          <w:bottom w:w="0" w:type="dxa"/>
          <w:right w:w="115" w:type="dxa"/>
        </w:tblCellMar>
        <w:tblLook w:val="04A0" w:firstRow="1" w:lastRow="0" w:firstColumn="1" w:lastColumn="0" w:noHBand="0" w:noVBand="1"/>
      </w:tblPr>
      <w:tblGrid>
        <w:gridCol w:w="2998"/>
        <w:gridCol w:w="3008"/>
        <w:gridCol w:w="3013"/>
      </w:tblGrid>
      <w:tr w:rsidR="006E1E04" w14:paraId="062B7B93" w14:textId="77777777">
        <w:trPr>
          <w:trHeight w:val="350"/>
        </w:trPr>
        <w:tc>
          <w:tcPr>
            <w:tcW w:w="2998" w:type="dxa"/>
            <w:tcBorders>
              <w:top w:val="single" w:sz="4" w:space="0" w:color="000000"/>
              <w:left w:val="single" w:sz="4" w:space="0" w:color="000000"/>
              <w:bottom w:val="single" w:sz="4" w:space="0" w:color="000000"/>
              <w:right w:val="single" w:sz="4" w:space="0" w:color="000000"/>
            </w:tcBorders>
          </w:tcPr>
          <w:p w14:paraId="134707A8" w14:textId="77777777" w:rsidR="006E1E04" w:rsidRDefault="00D1698F">
            <w:pPr>
              <w:spacing w:after="0"/>
            </w:pPr>
            <w:r>
              <w:rPr>
                <w:rFonts w:ascii="Arial" w:eastAsia="Arial" w:hAnsi="Arial" w:cs="Arial"/>
                <w:b/>
                <w:color w:val="005A7C"/>
                <w:sz w:val="16"/>
              </w:rPr>
              <w:t xml:space="preserve">Doc Ref: </w:t>
            </w:r>
            <w:r>
              <w:rPr>
                <w:rFonts w:ascii="Arial" w:eastAsia="Arial" w:hAnsi="Arial" w:cs="Arial"/>
                <w:color w:val="005A7C"/>
                <w:sz w:val="16"/>
              </w:rPr>
              <w:t xml:space="preserve">TCIA-IN-HC-39 </w:t>
            </w:r>
          </w:p>
        </w:tc>
        <w:tc>
          <w:tcPr>
            <w:tcW w:w="3008" w:type="dxa"/>
            <w:tcBorders>
              <w:top w:val="single" w:sz="4" w:space="0" w:color="000000"/>
              <w:left w:val="single" w:sz="4" w:space="0" w:color="000000"/>
              <w:bottom w:val="single" w:sz="4" w:space="0" w:color="000000"/>
              <w:right w:val="single" w:sz="4" w:space="0" w:color="000000"/>
            </w:tcBorders>
          </w:tcPr>
          <w:p w14:paraId="26FD6E82" w14:textId="77777777" w:rsidR="006E1E04" w:rsidRDefault="00D1698F">
            <w:pPr>
              <w:spacing w:after="0"/>
            </w:pPr>
            <w:r>
              <w:rPr>
                <w:rFonts w:ascii="Arial" w:eastAsia="Arial" w:hAnsi="Arial" w:cs="Arial"/>
                <w:b/>
                <w:color w:val="005A7C"/>
                <w:sz w:val="16"/>
              </w:rPr>
              <w:t xml:space="preserve">Version: </w:t>
            </w:r>
            <w:r>
              <w:rPr>
                <w:rFonts w:ascii="Arial" w:eastAsia="Arial" w:hAnsi="Arial" w:cs="Arial"/>
                <w:color w:val="005A7C"/>
                <w:sz w:val="16"/>
              </w:rPr>
              <w:t xml:space="preserve">1.0 </w:t>
            </w:r>
          </w:p>
        </w:tc>
        <w:tc>
          <w:tcPr>
            <w:tcW w:w="3013" w:type="dxa"/>
            <w:tcBorders>
              <w:top w:val="single" w:sz="4" w:space="0" w:color="000000"/>
              <w:left w:val="single" w:sz="4" w:space="0" w:color="000000"/>
              <w:bottom w:val="single" w:sz="4" w:space="0" w:color="000000"/>
              <w:right w:val="single" w:sz="4" w:space="0" w:color="000000"/>
            </w:tcBorders>
          </w:tcPr>
          <w:p w14:paraId="638526B9" w14:textId="77777777" w:rsidR="006E1E04" w:rsidRDefault="00D1698F">
            <w:pPr>
              <w:spacing w:after="0"/>
            </w:pPr>
            <w:r>
              <w:rPr>
                <w:rFonts w:ascii="Arial" w:eastAsia="Arial" w:hAnsi="Arial" w:cs="Arial"/>
                <w:b/>
                <w:color w:val="005A7C"/>
                <w:sz w:val="16"/>
              </w:rPr>
              <w:t>Effective date:</w:t>
            </w:r>
            <w:r>
              <w:rPr>
                <w:rFonts w:ascii="Arial" w:eastAsia="Arial" w:hAnsi="Arial" w:cs="Arial"/>
                <w:color w:val="005A7C"/>
                <w:sz w:val="16"/>
              </w:rPr>
              <w:t xml:space="preserve"> 26/01/2024 </w:t>
            </w:r>
          </w:p>
        </w:tc>
      </w:tr>
    </w:tbl>
    <w:p w14:paraId="4D306D40" w14:textId="77777777" w:rsidR="006E1E04" w:rsidRDefault="00D1698F">
      <w:pPr>
        <w:spacing w:after="0"/>
      </w:pPr>
      <w:r>
        <w:rPr>
          <w:rFonts w:ascii="Arial" w:eastAsia="Arial" w:hAnsi="Arial" w:cs="Arial"/>
          <w:sz w:val="15"/>
        </w:rPr>
        <w:lastRenderedPageBreak/>
        <w:t xml:space="preserve"> </w:t>
      </w:r>
    </w:p>
    <w:p w14:paraId="55DC0897" w14:textId="77777777" w:rsidR="006E1E04" w:rsidRDefault="00D1698F">
      <w:pPr>
        <w:tabs>
          <w:tab w:val="center" w:pos="4682"/>
        </w:tabs>
        <w:spacing w:after="56"/>
        <w:ind w:left="-15"/>
      </w:pPr>
      <w:r>
        <w:rPr>
          <w:rFonts w:ascii="Arial" w:eastAsia="Arial" w:hAnsi="Arial" w:cs="Arial"/>
          <w:i/>
          <w:sz w:val="15"/>
        </w:rPr>
        <w:t xml:space="preserve"> </w:t>
      </w:r>
      <w:r>
        <w:rPr>
          <w:rFonts w:ascii="Arial" w:eastAsia="Arial" w:hAnsi="Arial" w:cs="Arial"/>
          <w:i/>
          <w:sz w:val="15"/>
        </w:rPr>
        <w:tab/>
      </w:r>
      <w:r>
        <w:rPr>
          <w:rFonts w:ascii="Arial" w:eastAsia="Arial" w:hAnsi="Arial" w:cs="Arial"/>
          <w:sz w:val="15"/>
        </w:rPr>
        <w:t xml:space="preserve">Page </w:t>
      </w:r>
      <w:r>
        <w:rPr>
          <w:rFonts w:ascii="Arial" w:eastAsia="Arial" w:hAnsi="Arial" w:cs="Arial"/>
          <w:b/>
          <w:sz w:val="15"/>
        </w:rPr>
        <w:t>2</w:t>
      </w:r>
      <w:r>
        <w:rPr>
          <w:rFonts w:ascii="Arial" w:eastAsia="Arial" w:hAnsi="Arial" w:cs="Arial"/>
          <w:sz w:val="15"/>
        </w:rPr>
        <w:t xml:space="preserve"> of </w:t>
      </w:r>
      <w:r>
        <w:rPr>
          <w:rFonts w:ascii="Arial" w:eastAsia="Arial" w:hAnsi="Arial" w:cs="Arial"/>
          <w:b/>
          <w:sz w:val="15"/>
        </w:rPr>
        <w:t>2</w:t>
      </w:r>
      <w:r>
        <w:rPr>
          <w:rFonts w:ascii="Arial" w:eastAsia="Arial" w:hAnsi="Arial" w:cs="Arial"/>
          <w:sz w:val="15"/>
        </w:rPr>
        <w:t xml:space="preserve"> </w:t>
      </w:r>
    </w:p>
    <w:sectPr w:rsidR="006E1E04">
      <w:pgSz w:w="11906" w:h="16838"/>
      <w:pgMar w:top="709" w:right="1441" w:bottom="9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04"/>
    <w:rsid w:val="006E1E04"/>
    <w:rsid w:val="00D169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019B"/>
  <w15:docId w15:val="{AA095094-D980-4527-BD6D-71A732EA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11" w:line="250" w:lineRule="auto"/>
      <w:ind w:left="10" w:hanging="10"/>
      <w:outlineLvl w:val="0"/>
    </w:pPr>
    <w:rPr>
      <w:rFonts w:ascii="Arial" w:eastAsia="Arial" w:hAnsi="Arial" w:cs="Arial"/>
      <w:color w:val="0B99A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B99A6"/>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176585/GBHC400_LBM_Live_bivalve_molluscs__echinoderms__tunicates_and_marine_gastropods_v1.1_Aug-23.pdf" TargetMode="External"/><Relationship Id="rId18" Type="http://schemas.openxmlformats.org/officeDocument/2006/relationships/hyperlink" Target="https://assets.publishing.service.gov.uk/government/uploads/system/uploads/attachment_data/file/1176585/GBHC400_LBM_Live_bivalve_molluscs__echinoderms__tunicates_and_marine_gastropods_v1.1_Aug-2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fpa.ie/Who-We-Are/News/Details/sfpa-issues-information-notice-to-industry-in-relation-to-preparedness-advice-for-industry-trading-with-great-britain"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176585/GBHC400_LBM_Live_bivalve_molluscs__echinoderms__tunicates_and_marine_gastropods_v1.1_Aug-23.pdf" TargetMode="External"/><Relationship Id="rId17" Type="http://schemas.openxmlformats.org/officeDocument/2006/relationships/hyperlink" Target="https://sfpa.cloud.gov.ie/apps/eDocs/S/SFPA086/Files/SFPA086-015-2021/United%20Kingdom/2023/GBHC401_FP_Fishery_products_v1.1_Aug-23.pdf%20(publishing.service.gov.uk)" TargetMode="External"/><Relationship Id="rId25" Type="http://schemas.openxmlformats.org/officeDocument/2006/relationships/hyperlink" Target="https://www.sfpa.ie/LinkClick.aspx?fileticket=6cr2P-FuTmw%3d&amp;portalid=0" TargetMode="External"/><Relationship Id="rId2" Type="http://schemas.openxmlformats.org/officeDocument/2006/relationships/customXml" Target="../customXml/item2.xml"/><Relationship Id="rId16" Type="http://schemas.openxmlformats.org/officeDocument/2006/relationships/hyperlink" Target="https://sfpa.cloud.gov.ie/apps/eDocs/S/SFPA086/Files/SFPA086-015-2021/United%20Kingdom/2023/GBHC401_FP_Fishery_products_v1.1_Aug-23.pdf%20(publishing.service.gov.uk)" TargetMode="External"/><Relationship Id="rId20" Type="http://schemas.openxmlformats.org/officeDocument/2006/relationships/hyperlink" Target="https://www.sfpa.ie/Who-We-Are/News/Details/sfpa-issues-information-notice-to-industry-in-relation-to-preparedness-advice-for-industry-trading-with-great-brita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ra.agriculture.gov.ie/Citrix/AgricultureWeb/clients/HTML5Client/src/GBHC401_FP_Fishery_products_v1.1_Aug-23.pdf%20(publishing.service.gov.uk)" TargetMode="External"/><Relationship Id="rId24" Type="http://schemas.openxmlformats.org/officeDocument/2006/relationships/hyperlink" Target="https://www.sfpa.ie/LinkClick.aspx?fileticket=6cr2P-FuTmw%3d&amp;portalid=0"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1176585/GBHC400_LBM_Live_bivalve_molluscs__echinoderms__tunicates_and_marine_gastropods_v1.1_Aug-23.pdf" TargetMode="External"/><Relationship Id="rId23" Type="http://schemas.openxmlformats.org/officeDocument/2006/relationships/hyperlink" Target="https://www.sfpa.ie/LinkClick.aspx?fileticket=56xGDYCWNrs%3d&amp;portalid=0" TargetMode="External"/><Relationship Id="rId10" Type="http://schemas.openxmlformats.org/officeDocument/2006/relationships/hyperlink" Target="https://dara.agriculture.gov.ie/Citrix/AgricultureWeb/clients/HTML5Client/src/GBHC401_FP_Fishery_products_v1.1_Aug-23.pdf%20(publishing.service.gov.uk)" TargetMode="External"/><Relationship Id="rId19" Type="http://schemas.openxmlformats.org/officeDocument/2006/relationships/hyperlink" Target="https://assets.publishing.service.gov.uk/government/uploads/system/uploads/attachment_data/file/1176585/GBHC400_LBM_Live_bivalve_molluscs__echinoderms__tunicates_and_marine_gastropods_v1.1_Aug-23.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1176585/GBHC400_LBM_Live_bivalve_molluscs__echinoderms__tunicates_and_marine_gastropods_v1.1_Aug-23.pdf" TargetMode="External"/><Relationship Id="rId22" Type="http://schemas.openxmlformats.org/officeDocument/2006/relationships/hyperlink" Target="https://www.sfpa.ie/LinkClick.aspx?fileticket=56xGDYCWNrs%3d&amp;portali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F1EDAA08B1B1C64883C58B6A8B78F716" ma:contentTypeVersion="19" ma:contentTypeDescription="Create a new document for eDocs" ma:contentTypeScope="" ma:versionID="d1244fdaf4ed570ff82123c15be164d3">
  <xsd:schema xmlns:xsd="http://www.w3.org/2001/XMLSchema" xmlns:xs="http://www.w3.org/2001/XMLSchema" xmlns:p="http://schemas.microsoft.com/office/2006/metadata/properties" xmlns:ns1="http://schemas.microsoft.com/sharepoint/v3" xmlns:ns2="ea1458eb-10e9-4504-8559-3c48e864c834" xmlns:ns3="ac0345b4-9f38-41bd-a0c9-568442a2437d" targetNamespace="http://schemas.microsoft.com/office/2006/metadata/properties" ma:root="true" ma:fieldsID="47a8831b0f0f332afd40b41f45da7691" ns1:_="" ns2:_="" ns3:_="">
    <xsd:import namespace="http://schemas.microsoft.com/sharepoint/v3"/>
    <xsd:import namespace="ea1458eb-10e9-4504-8559-3c48e864c834"/>
    <xsd:import namespace="ac0345b4-9f38-41bd-a0c9-568442a2437d"/>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1458eb-10e9-4504-8559-3c48e864c83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0e9488f-4082-4bdc-bb5d-299c396cee83" ma:termSetId="6255fa14-793b-4add-9e12-807c5b92dede"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00e9488f-4082-4bdc-bb5d-299c396cee83" ma:termSetId="2d4951f0-0ff1-41b0-940d-f701a0bfb226"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00e9488f-4082-4bdc-bb5d-299c396cee83" ma:termSetId="a096e8d5-1a2d-46d3-a210-a7a2824c1d37"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b2629a6d-27ef-49b6-ad80-1c33eb966a0f" ma:fieldId="{6bbd3faf-a5ab-4e5e-b8a6-a5e099cef439}" ma:sspId="00e9488f-4082-4bdc-bb5d-299c396cee83" ma:termSetId="f0ce4380-0613-4c96-8d46-e9a85ab5d45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0345b4-9f38-41bd-a0c9-568442a243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599f1f-fa06-48f0-a3f2-d48d1d3ec22b}" ma:internalName="TaxCatchAll" ma:showField="CatchAllData" ma:web="ac0345b4-9f38-41bd-a0c9-568442a24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ea1458eb-10e9-4504-8559-3c48e864c834">
      <Terms xmlns="http://schemas.microsoft.com/office/infopath/2007/PartnerControls">
        <TermInfo xmlns="http://schemas.microsoft.com/office/infopath/2007/PartnerControls">
          <TermName xmlns="http://schemas.microsoft.com/office/infopath/2007/PartnerControls">084</TermName>
          <TermId xmlns="http://schemas.microsoft.com/office/infopath/2007/PartnerControls">e31dd4a6-d74f-4e99-b1d8-13f9b91743c7</TermId>
        </TermInfo>
      </Terms>
    </eDocs_SeriesSubSeriesTaxHTField0>
    <eDocs_FileStatus xmlns="http://schemas.microsoft.com/sharepoint/v3">Live</eDocs_FileStatus>
    <eDocs_YearTaxHTField0 xmlns="ea1458eb-10e9-4504-8559-3c48e864c83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6d475f71-7d28-42e9-87a2-5ef36a9f6d01</TermId>
        </TermInfo>
      </Terms>
    </eDocs_YearTaxHTField0>
    <eDocs_FileTopicsTaxHTField0 xmlns="ea1458eb-10e9-4504-8559-3c48e864c834">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89197537-0707-4ef4-83a3-c0956b44fccc</TermId>
        </TermInfo>
        <TermInfo xmlns="http://schemas.microsoft.com/office/infopath/2007/PartnerControls">
          <TermName xmlns="http://schemas.microsoft.com/office/infopath/2007/PartnerControls">Intranet</TermName>
          <TermId xmlns="http://schemas.microsoft.com/office/infopath/2007/PartnerControls">957bf4d6-d66c-4125-8b09-db91b385259c</TermId>
        </TermInfo>
      </Terms>
    </eDocs_FileTopicsTaxHTField0>
    <eDocs_SecurityClassificationTaxHTField0 xmlns="ea1458eb-10e9-4504-8559-3c48e864c83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b2629a6d-27ef-49b6-ad80-1c33eb966a0f</TermId>
        </TermInfo>
      </Terms>
    </eDocs_SecurityClassificationTaxHTField0>
    <OCRLastProcessed xmlns="http://schemas.microsoft.com/sharepoint/v3" xsi:nil="true"/>
    <eDocs_FileName xmlns="http://schemas.microsoft.com/sharepoint/v3">SFPA084-018-2021</eDocs_FileName>
    <TaxCatchAll xmlns="ac0345b4-9f38-41bd-a0c9-568442a2437d">
      <Value>5</Value>
      <Value>4</Value>
      <Value>17</Value>
      <Value>16</Value>
      <Value>1</Value>
    </TaxCatchAll>
    <eDocs_DocumentTopicsTaxHTField0 xmlns="ea1458eb-10e9-4504-8559-3c48e864c834">
      <Terms xmlns="http://schemas.microsoft.com/office/infopath/2007/PartnerControls"/>
    </eDocs_DocumentTopicsTaxHTField0>
  </documentManagement>
</p:properties>
</file>

<file path=customXml/itemProps1.xml><?xml version="1.0" encoding="utf-8"?>
<ds:datastoreItem xmlns:ds="http://schemas.openxmlformats.org/officeDocument/2006/customXml" ds:itemID="{38AA5F99-9208-4C23-99F4-423E0D0C8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1458eb-10e9-4504-8559-3c48e864c834"/>
    <ds:schemaRef ds:uri="ac0345b4-9f38-41bd-a0c9-568442a24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B0CD4-B101-4249-B093-EE9476525376}">
  <ds:schemaRefs>
    <ds:schemaRef ds:uri="http://schemas.microsoft.com/sharepoint/events"/>
  </ds:schemaRefs>
</ds:datastoreItem>
</file>

<file path=customXml/itemProps3.xml><?xml version="1.0" encoding="utf-8"?>
<ds:datastoreItem xmlns:ds="http://schemas.openxmlformats.org/officeDocument/2006/customXml" ds:itemID="{799CAB9F-442D-4704-A2E2-BD6F182C39B6}">
  <ds:schemaRefs>
    <ds:schemaRef ds:uri="office.server.policy"/>
  </ds:schemaRefs>
</ds:datastoreItem>
</file>

<file path=customXml/itemProps4.xml><?xml version="1.0" encoding="utf-8"?>
<ds:datastoreItem xmlns:ds="http://schemas.openxmlformats.org/officeDocument/2006/customXml" ds:itemID="{E96E6DEE-43E2-4A5E-87E5-361DE78F18D8}">
  <ds:schemaRefs>
    <ds:schemaRef ds:uri="http://schemas.microsoft.com/sharepoint/v3/contenttype/forms"/>
  </ds:schemaRefs>
</ds:datastoreItem>
</file>

<file path=customXml/itemProps5.xml><?xml version="1.0" encoding="utf-8"?>
<ds:datastoreItem xmlns:ds="http://schemas.openxmlformats.org/officeDocument/2006/customXml" ds:itemID="{0C984662-8A95-43B9-BCC0-C7EB213B6D69}">
  <ds:schemaRefs>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ac0345b4-9f38-41bd-a0c9-568442a2437d"/>
    <ds:schemaRef ds:uri="http://purl.org/dc/elements/1.1/"/>
    <ds:schemaRef ds:uri="ea1458eb-10e9-4504-8559-3c48e864c83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4</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TCIA-IN-HC-39 - Information Notice - TRACES Helpdesk Contact, GB Labelling Requirements and Preparedness Advice</dc:title>
  <dc:subject/>
  <dc:creator>Sharon Headd</dc:creator>
  <cp:keywords/>
  <cp:lastModifiedBy>Kiely, Mairead</cp:lastModifiedBy>
  <cp:revision>2</cp:revision>
  <dcterms:created xsi:type="dcterms:W3CDTF">2024-01-26T16:40:00Z</dcterms:created>
  <dcterms:modified xsi:type="dcterms:W3CDTF">2024-01-26T16:40:00Z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0x0101000BC94875665D404BB1351B53C41FD2C000F1EDAA08B1B1C64883C58B6A8B78F716</vt:lpwstr>
  </property>
  <property fmtid="{D5CDD505-2E9C-101B-9397-08002B2CF9AE}" pid="3" name="eDocs_FileTopics">
    <vt:lpwstr>16;#Website|89197537-0707-4ef4-83a3-c0956b44fccc;#17;#Intranet|957bf4d6-d66c-4125-8b09-db91b385259c</vt:lpwstr>
  </property>
  <property fmtid="{D5CDD505-2E9C-101B-9397-08002B2CF9AE}" pid="4" name="eDocs_SecurityClassification">
    <vt:lpwstr>1;#Unclassified|b2629a6d-27ef-49b6-ad80-1c33eb966a0f</vt:lpwstr>
  </property>
  <property fmtid="{D5CDD505-2E9C-101B-9397-08002B2CF9AE}" pid="5" name="eDocs_DocumentTopics">
    <vt:lpwstr/>
  </property>
  <property fmtid="{D5CDD505-2E9C-101B-9397-08002B2CF9AE}" pid="6" name="eDocs_Year">
    <vt:lpwstr>4;#2021|6d475f71-7d28-42e9-87a2-5ef36a9f6d01</vt:lpwstr>
  </property>
  <property fmtid="{D5CDD505-2E9C-101B-9397-08002B2CF9AE}" pid="7" name="eDocs_SeriesSubSeries">
    <vt:lpwstr>5;#084|e31dd4a6-d74f-4e99-b1d8-13f9b91743c7</vt:lpwstr>
  </property>
  <property fmtid="{D5CDD505-2E9C-101B-9397-08002B2CF9AE}" pid="8" name="_dlc_policyId">
    <vt:lpwstr/>
  </property>
  <property fmtid="{D5CDD505-2E9C-101B-9397-08002B2CF9AE}" pid="9" name="ItemRetentionFormula">
    <vt:lpwstr/>
  </property>
</Properties>
</file>